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AF3" w:rsidRDefault="00E37AF3" w:rsidP="00986351">
      <w:pPr>
        <w:spacing w:before="120" w:after="0"/>
        <w:rPr>
          <w:b/>
        </w:rPr>
      </w:pPr>
      <w:r>
        <w:rPr>
          <w:b/>
        </w:rPr>
        <w:t>Testprinzip</w:t>
      </w:r>
    </w:p>
    <w:p w:rsidR="00E37AF3" w:rsidRPr="00E37AF3" w:rsidRDefault="00255382" w:rsidP="00255382">
      <w:pPr>
        <w:spacing w:before="120" w:after="0"/>
      </w:pPr>
      <w:r>
        <w:t xml:space="preserve">Test der </w:t>
      </w:r>
      <w:r w:rsidRPr="00255382">
        <w:t>visuelle</w:t>
      </w:r>
      <w:r>
        <w:t>n</w:t>
      </w:r>
      <w:r w:rsidRPr="00255382">
        <w:t xml:space="preserve"> Qualität von </w:t>
      </w:r>
      <w:r>
        <w:t>Symbolen, in dem die einzelnen Elemente des Symbols erkannt und benannt werden sollen. In der Testanordnung ist nur die Symbolgröße variab</w:t>
      </w:r>
      <w:r w:rsidR="006527EC">
        <w:t>el</w:t>
      </w:r>
      <w:r>
        <w:t>. Mit verschiedenen Symbolgrößen sollen reale Betrachtungsabstände simuliert werden. Es werden verschiedene Symbolgrößen getestet. Eine größere Symbolgröße</w:t>
      </w:r>
      <w:r w:rsidR="00710BA4">
        <w:t>,</w:t>
      </w:r>
      <w:r>
        <w:t xml:space="preserve"> um zu testen ob die Symbolelemente überhaupt erkannt werden und eine kleinere Symbolgröße,</w:t>
      </w:r>
      <w:r w:rsidR="00710BA4">
        <w:t xml:space="preserve"> um zu testen ob sie Symbolelemente auch bei größeren Betrachtungsabständen erkannt werden.</w:t>
      </w:r>
    </w:p>
    <w:p w:rsidR="002E56D9" w:rsidRPr="00986351" w:rsidRDefault="00E05CFA" w:rsidP="00986351">
      <w:pPr>
        <w:spacing w:before="120" w:after="0"/>
        <w:rPr>
          <w:b/>
        </w:rPr>
      </w:pPr>
      <w:r w:rsidRPr="00986351">
        <w:rPr>
          <w:b/>
        </w:rPr>
        <w:t>Testv</w:t>
      </w:r>
      <w:r w:rsidR="00300DB6" w:rsidRPr="00986351">
        <w:rPr>
          <w:b/>
        </w:rPr>
        <w:t>orbereitung</w:t>
      </w:r>
    </w:p>
    <w:p w:rsidR="00C50849" w:rsidRDefault="00C50849" w:rsidP="001E5C18">
      <w:pPr>
        <w:pStyle w:val="Listenabsatz"/>
        <w:numPr>
          <w:ilvl w:val="0"/>
          <w:numId w:val="3"/>
        </w:numPr>
      </w:pPr>
      <w:r>
        <w:t>Testseiten</w:t>
      </w:r>
    </w:p>
    <w:p w:rsidR="00C50849" w:rsidRPr="00C50849" w:rsidRDefault="00C50849" w:rsidP="00C50849">
      <w:pPr>
        <w:pStyle w:val="Listenabsatz"/>
        <w:numPr>
          <w:ilvl w:val="1"/>
          <w:numId w:val="3"/>
        </w:numPr>
      </w:pPr>
      <w:r w:rsidRPr="00C50849">
        <w:t>wie Musterseite</w:t>
      </w:r>
    </w:p>
    <w:p w:rsidR="00C50849" w:rsidRDefault="00C50849" w:rsidP="001E5C18">
      <w:pPr>
        <w:pStyle w:val="Listenabsatz"/>
        <w:numPr>
          <w:ilvl w:val="0"/>
          <w:numId w:val="3"/>
        </w:numPr>
      </w:pPr>
      <w:r>
        <w:t>Präsentation der Symbole</w:t>
      </w:r>
    </w:p>
    <w:p w:rsidR="00C50849" w:rsidRDefault="00C50849" w:rsidP="00C50849">
      <w:pPr>
        <w:pStyle w:val="Listenabsatz"/>
        <w:numPr>
          <w:ilvl w:val="1"/>
          <w:numId w:val="3"/>
        </w:numPr>
      </w:pPr>
      <w:r>
        <w:t>Bedingungen:</w:t>
      </w:r>
      <w:r>
        <w:br/>
      </w:r>
      <w:r w:rsidR="00E002A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4.75pt;height:319.5pt">
            <v:imagedata r:id="rId7" o:title="VQT Präsentation"/>
          </v:shape>
        </w:pict>
      </w:r>
    </w:p>
    <w:p w:rsidR="00C50849" w:rsidRDefault="00FA14E8" w:rsidP="00986351">
      <w:pPr>
        <w:pStyle w:val="Listenabsatz"/>
        <w:numPr>
          <w:ilvl w:val="1"/>
          <w:numId w:val="3"/>
        </w:numPr>
        <w:spacing w:after="0"/>
        <w:ind w:left="1434" w:hanging="357"/>
      </w:pPr>
      <w:r>
        <w:t>Mit der Symbolgröße wird der Betrachtungsabstand der Realität simuliert</w:t>
      </w:r>
      <w:r>
        <w:br/>
      </w:r>
      <w:r w:rsidR="000A7907">
        <w:t xml:space="preserve">min. 2 </w:t>
      </w:r>
      <w:r w:rsidR="00C50849">
        <w:t>Symbolgrößen</w:t>
      </w:r>
      <w:r w:rsidR="008F0D78">
        <w:t xml:space="preserve"> testen</w:t>
      </w:r>
    </w:p>
    <w:tbl>
      <w:tblPr>
        <w:tblStyle w:val="Tabellenraster1"/>
        <w:tblW w:w="0" w:type="auto"/>
        <w:tblInd w:w="1435" w:type="dxa"/>
        <w:tblLook w:val="04A0" w:firstRow="1" w:lastRow="0" w:firstColumn="1" w:lastColumn="0" w:noHBand="0" w:noVBand="1"/>
      </w:tblPr>
      <w:tblGrid>
        <w:gridCol w:w="1433"/>
        <w:gridCol w:w="5587"/>
      </w:tblGrid>
      <w:tr w:rsidR="008B7ABB" w:rsidRPr="000A7907" w:rsidTr="008B7ABB">
        <w:tc>
          <w:tcPr>
            <w:tcW w:w="1433" w:type="dxa"/>
          </w:tcPr>
          <w:p w:rsidR="008B7ABB" w:rsidRPr="008F0D78" w:rsidRDefault="008B7ABB" w:rsidP="008F0D78">
            <w:pPr>
              <w:jc w:val="center"/>
              <w:rPr>
                <w:b/>
              </w:rPr>
            </w:pPr>
            <w:r w:rsidRPr="008F0D78">
              <w:rPr>
                <w:b/>
              </w:rPr>
              <w:t xml:space="preserve">Symbolgrößen </w:t>
            </w:r>
            <w:r w:rsidRPr="008F0D78">
              <w:rPr>
                <w:b/>
              </w:rPr>
              <w:br/>
              <w:t>h [mm]</w:t>
            </w:r>
          </w:p>
        </w:tc>
        <w:tc>
          <w:tcPr>
            <w:tcW w:w="5587" w:type="dxa"/>
          </w:tcPr>
          <w:p w:rsidR="008B7ABB" w:rsidRPr="008F0D78" w:rsidRDefault="008B7ABB" w:rsidP="00F40411">
            <w:pPr>
              <w:rPr>
                <w:b/>
              </w:rPr>
            </w:pPr>
            <w:r w:rsidRPr="008F0D78">
              <w:rPr>
                <w:b/>
              </w:rPr>
              <w:t>Bemerkung</w:t>
            </w:r>
          </w:p>
        </w:tc>
      </w:tr>
      <w:tr w:rsidR="008B7ABB" w:rsidRPr="000A7907" w:rsidTr="00866859">
        <w:tc>
          <w:tcPr>
            <w:tcW w:w="1433" w:type="dxa"/>
            <w:vAlign w:val="center"/>
          </w:tcPr>
          <w:p w:rsidR="008B7ABB" w:rsidRPr="000A7907" w:rsidRDefault="008B7ABB" w:rsidP="00866859">
            <w:pPr>
              <w:jc w:val="center"/>
            </w:pPr>
            <w:r w:rsidRPr="000A7907">
              <w:t>80 x 80</w:t>
            </w:r>
          </w:p>
        </w:tc>
        <w:tc>
          <w:tcPr>
            <w:tcW w:w="5587" w:type="dxa"/>
          </w:tcPr>
          <w:p w:rsidR="008B7ABB" w:rsidRPr="000A7907" w:rsidRDefault="008B7ABB" w:rsidP="00F40411">
            <w:r>
              <w:t xml:space="preserve">Diese Symbolgröße </w:t>
            </w:r>
            <w:r w:rsidRPr="000A7907">
              <w:t xml:space="preserve">immer </w:t>
            </w:r>
            <w:r w:rsidR="00866859">
              <w:t>prüfen, um zu prüfen ob die Symbolelemente überhaupt erkannt werden.</w:t>
            </w:r>
          </w:p>
        </w:tc>
      </w:tr>
      <w:tr w:rsidR="008B7ABB" w:rsidRPr="000A7907" w:rsidTr="008B7ABB">
        <w:tc>
          <w:tcPr>
            <w:tcW w:w="1433" w:type="dxa"/>
          </w:tcPr>
          <w:p w:rsidR="008B7ABB" w:rsidRPr="000A7907" w:rsidRDefault="008B7ABB" w:rsidP="008F0D78">
            <w:pPr>
              <w:jc w:val="center"/>
            </w:pPr>
            <w:r w:rsidRPr="000A7907">
              <w:t>50 x 50</w:t>
            </w:r>
          </w:p>
        </w:tc>
        <w:tc>
          <w:tcPr>
            <w:tcW w:w="5587" w:type="dxa"/>
          </w:tcPr>
          <w:p w:rsidR="008B7ABB" w:rsidRPr="000A7907" w:rsidRDefault="008B7ABB" w:rsidP="00F40411">
            <w:r>
              <w:t xml:space="preserve">Diese Symbolgröße </w:t>
            </w:r>
            <w:r w:rsidRPr="000A7907">
              <w:t xml:space="preserve">immer </w:t>
            </w:r>
            <w:r>
              <w:t>bei</w:t>
            </w:r>
            <w:r w:rsidRPr="000A7907">
              <w:t xml:space="preserve"> Sicherheitszeichen prüfen</w:t>
            </w:r>
            <w:r>
              <w:t>.</w:t>
            </w:r>
          </w:p>
        </w:tc>
      </w:tr>
      <w:tr w:rsidR="008B7ABB" w:rsidRPr="000A7907" w:rsidTr="008B7ABB">
        <w:tc>
          <w:tcPr>
            <w:tcW w:w="1433" w:type="dxa"/>
          </w:tcPr>
          <w:p w:rsidR="008B7ABB" w:rsidRPr="000A7907" w:rsidRDefault="008B7ABB" w:rsidP="008F0D78">
            <w:pPr>
              <w:jc w:val="center"/>
            </w:pPr>
            <w:r w:rsidRPr="000A7907">
              <w:t>40 x 40</w:t>
            </w:r>
          </w:p>
        </w:tc>
        <w:tc>
          <w:tcPr>
            <w:tcW w:w="5587" w:type="dxa"/>
            <w:vMerge w:val="restart"/>
            <w:vAlign w:val="center"/>
          </w:tcPr>
          <w:p w:rsidR="008B7ABB" w:rsidRPr="000A7907" w:rsidRDefault="008B7ABB" w:rsidP="00F40411">
            <w:r>
              <w:t>Entsprechend dem geplanten Einsatz Symbolgrößen wählen.</w:t>
            </w:r>
          </w:p>
        </w:tc>
      </w:tr>
      <w:tr w:rsidR="008B7ABB" w:rsidRPr="000A7907" w:rsidTr="008B7ABB">
        <w:tc>
          <w:tcPr>
            <w:tcW w:w="1433" w:type="dxa"/>
          </w:tcPr>
          <w:p w:rsidR="008B7ABB" w:rsidRPr="000A7907" w:rsidRDefault="008B7ABB" w:rsidP="008F0D78">
            <w:pPr>
              <w:jc w:val="center"/>
            </w:pPr>
            <w:r w:rsidRPr="000A7907">
              <w:t>28 x 28</w:t>
            </w:r>
          </w:p>
        </w:tc>
        <w:tc>
          <w:tcPr>
            <w:tcW w:w="5587" w:type="dxa"/>
            <w:vMerge/>
          </w:tcPr>
          <w:p w:rsidR="008B7ABB" w:rsidRPr="000A7907" w:rsidRDefault="008B7ABB" w:rsidP="00F40411"/>
        </w:tc>
      </w:tr>
      <w:tr w:rsidR="008B7ABB" w:rsidRPr="000A7907" w:rsidTr="008B7ABB">
        <w:tc>
          <w:tcPr>
            <w:tcW w:w="1433" w:type="dxa"/>
          </w:tcPr>
          <w:p w:rsidR="008B7ABB" w:rsidRPr="000A7907" w:rsidRDefault="008B7ABB" w:rsidP="008F0D78">
            <w:pPr>
              <w:jc w:val="center"/>
            </w:pPr>
            <w:r w:rsidRPr="000A7907">
              <w:t>20 x 20</w:t>
            </w:r>
          </w:p>
        </w:tc>
        <w:tc>
          <w:tcPr>
            <w:tcW w:w="5587" w:type="dxa"/>
            <w:vMerge/>
          </w:tcPr>
          <w:p w:rsidR="008B7ABB" w:rsidRPr="000A7907" w:rsidRDefault="008B7ABB" w:rsidP="00F40411"/>
        </w:tc>
      </w:tr>
      <w:tr w:rsidR="008B7ABB" w:rsidRPr="000A7907" w:rsidTr="008B7ABB">
        <w:tc>
          <w:tcPr>
            <w:tcW w:w="1433" w:type="dxa"/>
          </w:tcPr>
          <w:p w:rsidR="008B7ABB" w:rsidRPr="000A7907" w:rsidRDefault="008B7ABB" w:rsidP="008F0D78">
            <w:pPr>
              <w:jc w:val="center"/>
            </w:pPr>
            <w:r w:rsidRPr="000A7907">
              <w:t>14 x 14</w:t>
            </w:r>
          </w:p>
        </w:tc>
        <w:tc>
          <w:tcPr>
            <w:tcW w:w="5587" w:type="dxa"/>
            <w:vMerge/>
          </w:tcPr>
          <w:p w:rsidR="008B7ABB" w:rsidRPr="000A7907" w:rsidRDefault="008B7ABB" w:rsidP="00F40411"/>
        </w:tc>
      </w:tr>
      <w:tr w:rsidR="008B7ABB" w:rsidRPr="000A7907" w:rsidTr="008B7ABB">
        <w:tc>
          <w:tcPr>
            <w:tcW w:w="1433" w:type="dxa"/>
          </w:tcPr>
          <w:p w:rsidR="008B7ABB" w:rsidRPr="000A7907" w:rsidRDefault="008B7ABB" w:rsidP="008F0D78">
            <w:pPr>
              <w:jc w:val="center"/>
            </w:pPr>
            <w:r w:rsidRPr="000A7907">
              <w:t>10 x 10</w:t>
            </w:r>
          </w:p>
        </w:tc>
        <w:tc>
          <w:tcPr>
            <w:tcW w:w="5587" w:type="dxa"/>
            <w:vMerge/>
          </w:tcPr>
          <w:p w:rsidR="008B7ABB" w:rsidRPr="000A7907" w:rsidRDefault="008B7ABB" w:rsidP="00F40411"/>
        </w:tc>
      </w:tr>
    </w:tbl>
    <w:p w:rsidR="000A7907" w:rsidRDefault="00F66FFA" w:rsidP="00986351">
      <w:pPr>
        <w:pStyle w:val="Listenabsatz"/>
        <w:numPr>
          <w:ilvl w:val="1"/>
          <w:numId w:val="3"/>
        </w:numPr>
        <w:spacing w:before="120"/>
        <w:ind w:left="1434" w:hanging="357"/>
      </w:pPr>
      <w:r w:rsidRPr="00F66FFA">
        <w:t xml:space="preserve">in schwarz / weiß, außer Farbe ist </w:t>
      </w:r>
      <w:r>
        <w:t>immer Teil des Symbols</w:t>
      </w:r>
      <w:r w:rsidRPr="00F66FFA">
        <w:t>, wie zum Beispiel bei Sicherheitszeichen</w:t>
      </w:r>
    </w:p>
    <w:p w:rsidR="006365D8" w:rsidRDefault="006365D8" w:rsidP="006527EC">
      <w:pPr>
        <w:pStyle w:val="Listenabsatz"/>
        <w:pageBreakBefore/>
        <w:numPr>
          <w:ilvl w:val="0"/>
          <w:numId w:val="3"/>
        </w:numPr>
        <w:ind w:left="714" w:hanging="357"/>
      </w:pPr>
      <w:r>
        <w:lastRenderedPageBreak/>
        <w:t>Befragte</w:t>
      </w:r>
    </w:p>
    <w:p w:rsidR="006365D8" w:rsidRDefault="006365D8" w:rsidP="006365D8">
      <w:pPr>
        <w:pStyle w:val="Listenabsatz"/>
        <w:numPr>
          <w:ilvl w:val="1"/>
          <w:numId w:val="3"/>
        </w:numPr>
      </w:pPr>
      <w:r>
        <w:t>müssen repräsentativ für die Zielgruppe sein</w:t>
      </w:r>
    </w:p>
    <w:p w:rsidR="00E05CFA" w:rsidRDefault="00E05CFA" w:rsidP="006365D8">
      <w:pPr>
        <w:pStyle w:val="Listenabsatz"/>
        <w:numPr>
          <w:ilvl w:val="1"/>
          <w:numId w:val="3"/>
        </w:numPr>
      </w:pPr>
      <w:proofErr w:type="gramStart"/>
      <w:r>
        <w:t>müssen</w:t>
      </w:r>
      <w:proofErr w:type="gramEnd"/>
      <w:r>
        <w:t xml:space="preserve"> die letzte Zeile der Buchstabentafel (das „E“ in der ersten Zeile muss 3 cm hoch sein) korrekt ablesen können</w:t>
      </w:r>
    </w:p>
    <w:p w:rsidR="00FA14E8" w:rsidRDefault="00FA14E8" w:rsidP="006365D8">
      <w:pPr>
        <w:pStyle w:val="Listenabsatz"/>
        <w:numPr>
          <w:ilvl w:val="1"/>
          <w:numId w:val="3"/>
        </w:numPr>
      </w:pPr>
      <w:r>
        <w:t>müssen während des Tests die Position zur Präsentationsfläche beibehalten</w:t>
      </w:r>
    </w:p>
    <w:p w:rsidR="00FF633D" w:rsidRDefault="006365D8" w:rsidP="00FF633D">
      <w:pPr>
        <w:pStyle w:val="Listenabsatz"/>
        <w:numPr>
          <w:ilvl w:val="1"/>
          <w:numId w:val="3"/>
        </w:numPr>
      </w:pPr>
      <w:r>
        <w:t xml:space="preserve">je </w:t>
      </w:r>
      <w:r w:rsidR="00FA76A6">
        <w:t xml:space="preserve">Testgruppe von </w:t>
      </w:r>
      <w:r>
        <w:t>Befragten</w:t>
      </w:r>
      <w:r w:rsidR="00FF633D">
        <w:t xml:space="preserve"> eine Symbolgröße </w:t>
      </w:r>
    </w:p>
    <w:p w:rsidR="00FF633D" w:rsidRDefault="006365D8" w:rsidP="00FF633D">
      <w:pPr>
        <w:pStyle w:val="Listenabsatz"/>
        <w:numPr>
          <w:ilvl w:val="1"/>
          <w:numId w:val="3"/>
        </w:numPr>
      </w:pPr>
      <w:r>
        <w:t xml:space="preserve">je Befragten </w:t>
      </w:r>
      <w:r w:rsidR="00FF633D">
        <w:t>max. 15 Symbole</w:t>
      </w:r>
    </w:p>
    <w:p w:rsidR="00F66FFA" w:rsidRDefault="00F66FFA" w:rsidP="00FF633D">
      <w:pPr>
        <w:pStyle w:val="Listenabsatz"/>
        <w:numPr>
          <w:ilvl w:val="1"/>
          <w:numId w:val="3"/>
        </w:numPr>
      </w:pPr>
      <w:r>
        <w:t xml:space="preserve">Reihenfolge der Symbole </w:t>
      </w:r>
      <w:r w:rsidR="00E05CFA">
        <w:t xml:space="preserve">müssen </w:t>
      </w:r>
      <w:r>
        <w:t>zwischen den Befragten</w:t>
      </w:r>
      <w:r w:rsidR="00FA76A6">
        <w:t xml:space="preserve"> variieren </w:t>
      </w:r>
    </w:p>
    <w:p w:rsidR="006365D8" w:rsidRDefault="006365D8" w:rsidP="006365D8">
      <w:pPr>
        <w:pStyle w:val="Listenabsatz"/>
        <w:numPr>
          <w:ilvl w:val="1"/>
          <w:numId w:val="3"/>
        </w:numPr>
      </w:pPr>
      <w:r>
        <w:t>min. 25</w:t>
      </w:r>
      <w:r w:rsidRPr="006365D8">
        <w:t xml:space="preserve"> Befragte je Symbol </w:t>
      </w:r>
    </w:p>
    <w:p w:rsidR="00E05CFA" w:rsidRPr="00986351" w:rsidRDefault="00E05CFA" w:rsidP="00986351">
      <w:pPr>
        <w:spacing w:before="120" w:after="0"/>
        <w:rPr>
          <w:b/>
        </w:rPr>
      </w:pPr>
      <w:r w:rsidRPr="00986351">
        <w:rPr>
          <w:b/>
        </w:rPr>
        <w:t>Testablauf</w:t>
      </w:r>
    </w:p>
    <w:p w:rsidR="00E05CFA" w:rsidRPr="00E05CFA" w:rsidRDefault="00E05CFA" w:rsidP="00E05CFA">
      <w:pPr>
        <w:numPr>
          <w:ilvl w:val="0"/>
          <w:numId w:val="6"/>
        </w:numPr>
        <w:contextualSpacing/>
      </w:pPr>
      <w:r w:rsidRPr="00E05CFA">
        <w:t xml:space="preserve">Die Befragten erhalten eine Testmappe mit </w:t>
      </w:r>
    </w:p>
    <w:p w:rsidR="00E05CFA" w:rsidRPr="00E05CFA" w:rsidRDefault="00E05CFA" w:rsidP="00E05CFA">
      <w:pPr>
        <w:numPr>
          <w:ilvl w:val="1"/>
          <w:numId w:val="6"/>
        </w:numPr>
        <w:contextualSpacing/>
      </w:pPr>
      <w:r w:rsidRPr="00E05CFA">
        <w:t>Anleitung</w:t>
      </w:r>
      <w:r w:rsidR="00986351">
        <w:t>,</w:t>
      </w:r>
    </w:p>
    <w:p w:rsidR="00E05CFA" w:rsidRPr="00E05CFA" w:rsidRDefault="00E05CFA" w:rsidP="00E05CFA">
      <w:pPr>
        <w:numPr>
          <w:ilvl w:val="1"/>
          <w:numId w:val="6"/>
        </w:numPr>
        <w:contextualSpacing/>
      </w:pPr>
      <w:r>
        <w:t>Antwort</w:t>
      </w:r>
      <w:r w:rsidRPr="00E05CFA">
        <w:t>seiten</w:t>
      </w:r>
      <w:r w:rsidR="00986351">
        <w:t xml:space="preserve"> und</w:t>
      </w:r>
    </w:p>
    <w:p w:rsidR="00E05CFA" w:rsidRPr="00E05CFA" w:rsidRDefault="00E05CFA" w:rsidP="00E05CFA">
      <w:pPr>
        <w:numPr>
          <w:ilvl w:val="1"/>
          <w:numId w:val="6"/>
        </w:numPr>
        <w:contextualSpacing/>
      </w:pPr>
      <w:r>
        <w:t>Selbstauskunft</w:t>
      </w:r>
      <w:r w:rsidR="007B451C">
        <w:t>.</w:t>
      </w:r>
    </w:p>
    <w:p w:rsidR="007B451C" w:rsidRPr="007B451C" w:rsidRDefault="007B451C" w:rsidP="007B451C">
      <w:pPr>
        <w:pStyle w:val="Listenabsatz"/>
        <w:numPr>
          <w:ilvl w:val="0"/>
          <w:numId w:val="6"/>
        </w:numPr>
      </w:pPr>
      <w:r>
        <w:t xml:space="preserve">Sehkraft der Befragten mit der Buchstabentafel prüfen. </w:t>
      </w:r>
      <w:r>
        <w:br/>
        <w:t xml:space="preserve">Die Befragten </w:t>
      </w:r>
      <w:r w:rsidRPr="007B451C">
        <w:t>müssen die letzte Zeile der Buchstabentafel korrekt ablesen können</w:t>
      </w:r>
      <w:r>
        <w:t>.</w:t>
      </w:r>
    </w:p>
    <w:p w:rsidR="00E05CFA" w:rsidRDefault="00E05CFA" w:rsidP="00E05CFA">
      <w:pPr>
        <w:numPr>
          <w:ilvl w:val="0"/>
          <w:numId w:val="6"/>
        </w:numPr>
        <w:contextualSpacing/>
      </w:pPr>
      <w:r>
        <w:t xml:space="preserve">Den Befragten werden zu Verdeutlichung </w:t>
      </w:r>
      <w:r w:rsidR="00F2630D">
        <w:t>d</w:t>
      </w:r>
      <w:r w:rsidR="00ED06DB">
        <w:t>er Aufgabe folgende Mustersymbole gezeigt</w:t>
      </w:r>
      <w:r>
        <w:t xml:space="preserve"> </w:t>
      </w:r>
      <w:r w:rsidR="00ED06DB">
        <w:t xml:space="preserve">und deren </w:t>
      </w:r>
      <w:r>
        <w:t xml:space="preserve">Beschreibungen </w:t>
      </w:r>
      <w:r w:rsidR="00ED06DB">
        <w:t>genannt</w:t>
      </w:r>
      <w:r>
        <w:t>.</w:t>
      </w:r>
    </w:p>
    <w:tbl>
      <w:tblPr>
        <w:tblStyle w:val="Tabellenraster"/>
        <w:tblW w:w="9545" w:type="dxa"/>
        <w:tblInd w:w="7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05"/>
        <w:gridCol w:w="1080"/>
        <w:gridCol w:w="6660"/>
      </w:tblGrid>
      <w:tr w:rsidR="00ED06DB" w:rsidTr="001969DC">
        <w:tc>
          <w:tcPr>
            <w:tcW w:w="1805" w:type="dxa"/>
            <w:shd w:val="clear" w:color="auto" w:fill="auto"/>
            <w:vAlign w:val="center"/>
          </w:tcPr>
          <w:p w:rsidR="00ED06DB" w:rsidRDefault="00ED06DB" w:rsidP="00ED06DB">
            <w:pPr>
              <w:spacing w:before="120" w:after="120"/>
              <w:contextualSpacing/>
            </w:pPr>
            <w:r>
              <w:t>Symbolkennung:</w:t>
            </w:r>
            <w:r>
              <w:br/>
            </w:r>
            <w:r w:rsidRPr="00E05CFA">
              <w:t>VQT-2016-11-0001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D06DB" w:rsidRDefault="00ED06DB" w:rsidP="00ED06DB">
            <w:pPr>
              <w:spacing w:before="120" w:after="120"/>
              <w:contextualSpacing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04AF0A22" wp14:editId="4A247A44">
                  <wp:extent cx="540385" cy="532765"/>
                  <wp:effectExtent l="0" t="0" r="0" b="635"/>
                  <wp:docPr id="1" name="Grafik 1" descr="C:\Users\marco\AppData\Local\Microsoft\Windows\INetCacheContent.Word\VQT-2016-11-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arco\AppData\Local\Microsoft\Windows\INetCacheContent.Word\VQT-2016-11-0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8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ED06DB" w:rsidRDefault="00ED06DB" w:rsidP="00ED06DB">
            <w:pPr>
              <w:contextualSpacing/>
            </w:pPr>
            <w:r w:rsidRPr="00ED06DB">
              <w:t xml:space="preserve">Frontansicht von einer stehenden Frau und </w:t>
            </w:r>
            <w:r>
              <w:br/>
            </w:r>
            <w:r w:rsidRPr="00ED06DB">
              <w:t>einem stehenden Mann, mit einer Linie dazwischen</w:t>
            </w:r>
          </w:p>
        </w:tc>
      </w:tr>
      <w:tr w:rsidR="00ED06DB" w:rsidTr="001969DC">
        <w:tc>
          <w:tcPr>
            <w:tcW w:w="1805" w:type="dxa"/>
            <w:shd w:val="clear" w:color="auto" w:fill="auto"/>
            <w:vAlign w:val="center"/>
          </w:tcPr>
          <w:p w:rsidR="00ED06DB" w:rsidRDefault="00ED06DB" w:rsidP="00ED06DB">
            <w:pPr>
              <w:spacing w:before="120" w:after="120"/>
              <w:contextualSpacing/>
            </w:pPr>
            <w:r>
              <w:t>Symbolkennung:</w:t>
            </w:r>
            <w:r>
              <w:br/>
              <w:t>VQT-2016-11-0002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D06DB" w:rsidRDefault="00ED06DB" w:rsidP="00ED06DB">
            <w:pPr>
              <w:spacing w:before="120" w:after="120"/>
              <w:contextualSpacing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0858F62E" wp14:editId="57E90279">
                  <wp:extent cx="460900" cy="540000"/>
                  <wp:effectExtent l="0" t="0" r="0" b="0"/>
                  <wp:docPr id="2" name="Grafik 2" descr="C:\Users\marco\AppData\Local\Microsoft\Windows\INetCacheContent.Word\VQT-2016-11-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marco\AppData\Local\Microsoft\Windows\INetCacheContent.Word\VQT-2016-11-0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09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ED06DB" w:rsidRDefault="00ED06DB" w:rsidP="00ED06DB">
            <w:pPr>
              <w:contextualSpacing/>
            </w:pPr>
            <w:r w:rsidRPr="00ED06DB">
              <w:t>Seitenansicht eines Menschen, gebeugt über einem Baby auf einer Fläche und eine Babytrinkflasche als Umriss</w:t>
            </w:r>
          </w:p>
        </w:tc>
      </w:tr>
      <w:tr w:rsidR="00ED06DB" w:rsidTr="001969DC">
        <w:tc>
          <w:tcPr>
            <w:tcW w:w="1805" w:type="dxa"/>
            <w:shd w:val="clear" w:color="auto" w:fill="auto"/>
            <w:vAlign w:val="center"/>
          </w:tcPr>
          <w:p w:rsidR="00ED06DB" w:rsidRDefault="00ED06DB" w:rsidP="00ED06DB">
            <w:pPr>
              <w:spacing w:before="120" w:after="120"/>
              <w:contextualSpacing/>
            </w:pPr>
            <w:r>
              <w:t>Symbolkennung:</w:t>
            </w:r>
            <w:r>
              <w:br/>
              <w:t>VQT-2016-11-0003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D06DB" w:rsidRDefault="00ED06DB" w:rsidP="00ED06DB">
            <w:pPr>
              <w:spacing w:before="120" w:after="120"/>
              <w:contextualSpacing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1C6B1EA2" wp14:editId="5482EBCA">
                  <wp:extent cx="540385" cy="540385"/>
                  <wp:effectExtent l="0" t="0" r="0" b="0"/>
                  <wp:docPr id="3" name="Grafik 3" descr="C:\Users\marco\AppData\Local\Microsoft\Windows\INetCacheContent.Word\VQT-2016-11-0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marco\AppData\Local\Microsoft\Windows\INetCacheContent.Word\VQT-2016-11-0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8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ED06DB" w:rsidRDefault="00ED06DB" w:rsidP="00ED06DB">
            <w:pPr>
              <w:contextualSpacing/>
            </w:pPr>
            <w:r w:rsidRPr="00ED06DB">
              <w:t>vier Pfeile, zeigend aus verschieden Richtungen auf einen großen Punkt in der Mitte</w:t>
            </w:r>
          </w:p>
        </w:tc>
      </w:tr>
    </w:tbl>
    <w:p w:rsidR="00ED06DB" w:rsidRDefault="00ED06DB" w:rsidP="00ED06DB">
      <w:pPr>
        <w:numPr>
          <w:ilvl w:val="0"/>
          <w:numId w:val="6"/>
        </w:numPr>
        <w:contextualSpacing/>
      </w:pPr>
      <w:r>
        <w:t xml:space="preserve">Den Befragten werden zu Verdeutlichung </w:t>
      </w:r>
      <w:r w:rsidR="00F2630D">
        <w:t>d</w:t>
      </w:r>
      <w:r w:rsidR="006527EC">
        <w:t>er Aufgabe folgende</w:t>
      </w:r>
      <w:r>
        <w:t xml:space="preserve"> Mustersymbole gezeigt und deren Beschreibungen gemeinsam besprochen.</w:t>
      </w:r>
    </w:p>
    <w:tbl>
      <w:tblPr>
        <w:tblStyle w:val="Tabellenraster"/>
        <w:tblW w:w="9545" w:type="dxa"/>
        <w:tblInd w:w="7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05"/>
        <w:gridCol w:w="1080"/>
        <w:gridCol w:w="6660"/>
      </w:tblGrid>
      <w:tr w:rsidR="00ED06DB" w:rsidTr="001969DC">
        <w:tc>
          <w:tcPr>
            <w:tcW w:w="1805" w:type="dxa"/>
            <w:shd w:val="clear" w:color="auto" w:fill="auto"/>
            <w:vAlign w:val="center"/>
          </w:tcPr>
          <w:p w:rsidR="00ED06DB" w:rsidRDefault="00ED06DB" w:rsidP="003E23CF">
            <w:pPr>
              <w:spacing w:before="120" w:after="120"/>
              <w:contextualSpacing/>
            </w:pPr>
            <w:r>
              <w:t>Symbolkennung:</w:t>
            </w:r>
            <w:r>
              <w:br/>
              <w:t>VQT-2016-11-0004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D06DB" w:rsidRDefault="00E002A5" w:rsidP="003E23CF">
            <w:pPr>
              <w:spacing w:before="120" w:after="120"/>
              <w:contextualSpacing/>
              <w:jc w:val="center"/>
            </w:pPr>
            <w:r>
              <w:pict>
                <v:shape id="_x0000_i1026" type="#_x0000_t75" style="width:42pt;height:38.25pt">
                  <v:imagedata r:id="rId11" o:title="VQT-2016-11-0004"/>
                </v:shape>
              </w:pic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697609" w:rsidRDefault="00697609" w:rsidP="00697609">
            <w:pPr>
              <w:tabs>
                <w:tab w:val="left" w:pos="4080"/>
              </w:tabs>
              <w:contextualSpacing/>
            </w:pPr>
            <w:r w:rsidRPr="00697609">
              <w:t>ein Mensch mit einem Wanderstock und ein Mensch im Rollstuhl</w:t>
            </w:r>
          </w:p>
          <w:p w:rsidR="00697609" w:rsidRDefault="00697609" w:rsidP="00697609">
            <w:pPr>
              <w:tabs>
                <w:tab w:val="left" w:pos="3540"/>
              </w:tabs>
              <w:contextualSpacing/>
            </w:pPr>
            <w:r>
              <w:t>Korrekte Alternative für „Mensch“ Person, Mann</w:t>
            </w:r>
          </w:p>
          <w:p w:rsidR="00697609" w:rsidRDefault="00697609" w:rsidP="00697609">
            <w:pPr>
              <w:tabs>
                <w:tab w:val="left" w:pos="3540"/>
              </w:tabs>
              <w:contextualSpacing/>
            </w:pPr>
            <w:r>
              <w:t>Korrekte Alternative für „Wanderstock“ Linie</w:t>
            </w:r>
          </w:p>
          <w:p w:rsidR="00697609" w:rsidRDefault="00697609" w:rsidP="00697609">
            <w:pPr>
              <w:tabs>
                <w:tab w:val="left" w:pos="3540"/>
              </w:tabs>
              <w:contextualSpacing/>
            </w:pPr>
            <w:r>
              <w:t>Falsche Beschreibung für „Wanderstock“ Schirm</w:t>
            </w:r>
          </w:p>
          <w:p w:rsidR="00ED06DB" w:rsidRDefault="00697609" w:rsidP="00697609">
            <w:pPr>
              <w:tabs>
                <w:tab w:val="left" w:pos="4080"/>
              </w:tabs>
              <w:contextualSpacing/>
            </w:pPr>
            <w:r>
              <w:t>Falsche Beschreibung für „Mensch im Rollstuhl“</w:t>
            </w:r>
            <w:r w:rsidR="001969DC">
              <w:t xml:space="preserve"> </w:t>
            </w:r>
            <w:r>
              <w:t xml:space="preserve">ein Kind mit einem </w:t>
            </w:r>
            <w:proofErr w:type="spellStart"/>
            <w:r>
              <w:t>Hüpfball</w:t>
            </w:r>
            <w:proofErr w:type="spellEnd"/>
          </w:p>
        </w:tc>
      </w:tr>
      <w:tr w:rsidR="00ED06DB" w:rsidTr="001969DC">
        <w:tc>
          <w:tcPr>
            <w:tcW w:w="1805" w:type="dxa"/>
            <w:shd w:val="clear" w:color="auto" w:fill="auto"/>
            <w:vAlign w:val="center"/>
          </w:tcPr>
          <w:p w:rsidR="00ED06DB" w:rsidRDefault="00ED06DB" w:rsidP="003E23CF">
            <w:pPr>
              <w:spacing w:before="120" w:after="120"/>
              <w:contextualSpacing/>
            </w:pPr>
            <w:r>
              <w:t>Symbolkennung:</w:t>
            </w:r>
            <w:r>
              <w:br/>
              <w:t>VQT-2016-11-0005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D06DB" w:rsidRDefault="00E002A5" w:rsidP="003E23CF">
            <w:pPr>
              <w:spacing w:before="120" w:after="120"/>
              <w:contextualSpacing/>
              <w:jc w:val="center"/>
            </w:pPr>
            <w:r>
              <w:pict>
                <v:shape id="_x0000_i1027" type="#_x0000_t75" style="width:42.75pt;height:54.75pt">
                  <v:imagedata r:id="rId12" o:title="VQT-2016-11-0005"/>
                </v:shape>
              </w:pic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ED06DB" w:rsidRDefault="00697609" w:rsidP="003E23CF">
            <w:pPr>
              <w:contextualSpacing/>
            </w:pPr>
            <w:r w:rsidRPr="00697609">
              <w:t>ein Koffer in einem Schließfach und ein Schlüssel</w:t>
            </w:r>
          </w:p>
          <w:p w:rsidR="00697609" w:rsidRDefault="00697609" w:rsidP="00697609">
            <w:pPr>
              <w:contextualSpacing/>
            </w:pPr>
            <w:r>
              <w:t>Korrekte Alternative für „Koffer“</w:t>
            </w:r>
            <w:r w:rsidR="001969DC">
              <w:t xml:space="preserve"> </w:t>
            </w:r>
            <w:r>
              <w:t>ein Gepäckstück, Gepäck, Tasche</w:t>
            </w:r>
          </w:p>
          <w:p w:rsidR="00697609" w:rsidRDefault="00697609" w:rsidP="00697609">
            <w:pPr>
              <w:contextualSpacing/>
            </w:pPr>
            <w:r>
              <w:t>Korrekte Alternative für „Schließfach“</w:t>
            </w:r>
            <w:r w:rsidR="001969DC">
              <w:t xml:space="preserve"> </w:t>
            </w:r>
            <w:r>
              <w:t xml:space="preserve">Quadrat </w:t>
            </w:r>
          </w:p>
          <w:p w:rsidR="00697609" w:rsidRDefault="00697609" w:rsidP="00697609">
            <w:pPr>
              <w:contextualSpacing/>
            </w:pPr>
            <w:r>
              <w:t xml:space="preserve">Falsche Beschreibung für „Koffer in einem Schließfach“ Gepäckaufbewahrung, Tasche </w:t>
            </w:r>
          </w:p>
        </w:tc>
      </w:tr>
    </w:tbl>
    <w:p w:rsidR="00F2630D" w:rsidRDefault="00F2630D" w:rsidP="00F2630D">
      <w:pPr>
        <w:numPr>
          <w:ilvl w:val="0"/>
          <w:numId w:val="6"/>
        </w:numPr>
        <w:contextualSpacing/>
      </w:pPr>
      <w:r>
        <w:t xml:space="preserve">Den Befragten werden zu Verdeutlichung der Aufgabe folgender </w:t>
      </w:r>
      <w:r w:rsidR="001969DC">
        <w:t>Sicherheitszeichen</w:t>
      </w:r>
      <w:r>
        <w:t xml:space="preserve"> gezeigt und deren Beschreibungen gemeinsam besprochen.</w:t>
      </w:r>
      <w:r w:rsidR="001969DC">
        <w:t xml:space="preserve"> </w:t>
      </w:r>
      <w:r>
        <w:t xml:space="preserve">Es wird darauf hingewiesen, dass nur die Symbole und nicht die Grundform beschrieben werden </w:t>
      </w:r>
      <w:r w:rsidR="00F25EB5">
        <w:t>sollen.</w:t>
      </w:r>
    </w:p>
    <w:tbl>
      <w:tblPr>
        <w:tblStyle w:val="Tabellenraster"/>
        <w:tblW w:w="9545" w:type="dxa"/>
        <w:tblInd w:w="7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05"/>
        <w:gridCol w:w="1080"/>
        <w:gridCol w:w="6660"/>
      </w:tblGrid>
      <w:tr w:rsidR="00ED06DB" w:rsidTr="001969DC">
        <w:tc>
          <w:tcPr>
            <w:tcW w:w="1805" w:type="dxa"/>
            <w:shd w:val="clear" w:color="auto" w:fill="auto"/>
            <w:vAlign w:val="center"/>
          </w:tcPr>
          <w:p w:rsidR="00ED06DB" w:rsidRDefault="00ED06DB" w:rsidP="003E23CF">
            <w:pPr>
              <w:spacing w:before="120" w:after="120"/>
              <w:contextualSpacing/>
            </w:pPr>
            <w:r>
              <w:t>Symbolkennung:</w:t>
            </w:r>
            <w:r>
              <w:br/>
              <w:t>VQT-2016-11-0006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D06DB" w:rsidRDefault="00E002A5" w:rsidP="003E23CF">
            <w:pPr>
              <w:spacing w:before="120" w:after="120"/>
              <w:contextualSpacing/>
              <w:jc w:val="center"/>
            </w:pPr>
            <w:r>
              <w:pict>
                <v:shape id="_x0000_i1028" type="#_x0000_t75" style="width:42pt;height:42pt">
                  <v:imagedata r:id="rId13" o:title="VQT-2016-11-0006"/>
                </v:shape>
              </w:pic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ED06DB" w:rsidRDefault="00F25EB5" w:rsidP="003E23CF">
            <w:pPr>
              <w:contextualSpacing/>
            </w:pPr>
            <w:r w:rsidRPr="00F25EB5">
              <w:t xml:space="preserve">Wellen und ein Mensch auf Wasserskiern, ein Schleppseil haltend </w:t>
            </w:r>
          </w:p>
          <w:p w:rsidR="00F25EB5" w:rsidRDefault="00F25EB5" w:rsidP="00F25EB5">
            <w:pPr>
              <w:contextualSpacing/>
            </w:pPr>
            <w:r>
              <w:t>Korrekte Alternative für „Wellen“ Wasser, zwei Wellenlinien</w:t>
            </w:r>
          </w:p>
          <w:p w:rsidR="00F25EB5" w:rsidRDefault="00F25EB5" w:rsidP="00F25EB5">
            <w:pPr>
              <w:contextualSpacing/>
            </w:pPr>
            <w:r>
              <w:t>Korrekte Alternative für „Mensch“ Person, Mann</w:t>
            </w:r>
          </w:p>
          <w:p w:rsidR="00F25EB5" w:rsidRDefault="00F25EB5" w:rsidP="00F25EB5">
            <w:pPr>
              <w:contextualSpacing/>
            </w:pPr>
            <w:r>
              <w:t>Korrekte Alternative für „Schleppseil“ gerade horizontale Linie und eine kurze vertikale Linie</w:t>
            </w:r>
          </w:p>
          <w:p w:rsidR="00F25EB5" w:rsidRDefault="00F25EB5" w:rsidP="00F25EB5">
            <w:pPr>
              <w:contextualSpacing/>
            </w:pPr>
            <w:r>
              <w:t>Falsche Beschreibung für „Schleppseil“ Florett</w:t>
            </w:r>
          </w:p>
        </w:tc>
      </w:tr>
      <w:tr w:rsidR="00ED06DB" w:rsidTr="001969DC">
        <w:tc>
          <w:tcPr>
            <w:tcW w:w="1805" w:type="dxa"/>
            <w:shd w:val="clear" w:color="auto" w:fill="auto"/>
            <w:vAlign w:val="center"/>
          </w:tcPr>
          <w:p w:rsidR="00ED06DB" w:rsidRDefault="00ED06DB" w:rsidP="003E23CF">
            <w:pPr>
              <w:spacing w:before="120" w:after="120"/>
              <w:contextualSpacing/>
            </w:pPr>
            <w:r>
              <w:lastRenderedPageBreak/>
              <w:t>Symbolkennung:</w:t>
            </w:r>
            <w:r>
              <w:br/>
              <w:t>VQT-2016-11-0006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D06DB" w:rsidRDefault="00E002A5" w:rsidP="003E23CF">
            <w:pPr>
              <w:spacing w:before="120" w:after="120"/>
              <w:contextualSpacing/>
              <w:jc w:val="center"/>
            </w:pPr>
            <w:r>
              <w:pict>
                <v:shape id="_x0000_i1029" type="#_x0000_t75" style="width:42pt;height:37.5pt">
                  <v:imagedata r:id="rId14" o:title="VQT-2016-11-0007"/>
                </v:shape>
              </w:pic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F25EB5" w:rsidRDefault="00F25EB5" w:rsidP="00F25EB5">
            <w:pPr>
              <w:contextualSpacing/>
            </w:pPr>
            <w:r w:rsidRPr="00F25EB5">
              <w:t xml:space="preserve">Wellen und ein Mensch auf Wasserskiern, ein Schleppseil haltend </w:t>
            </w:r>
          </w:p>
          <w:p w:rsidR="00F25EB5" w:rsidRDefault="00F25EB5" w:rsidP="00F25EB5">
            <w:pPr>
              <w:contextualSpacing/>
            </w:pPr>
            <w:r>
              <w:t>Korrekte Alternative für „Wellen“ Wasser, zwei Wellenlinien</w:t>
            </w:r>
          </w:p>
          <w:p w:rsidR="00F25EB5" w:rsidRDefault="00F25EB5" w:rsidP="00F25EB5">
            <w:pPr>
              <w:contextualSpacing/>
            </w:pPr>
            <w:r>
              <w:t>Korrekte Alternative für „Mensch“ Person, Mann</w:t>
            </w:r>
          </w:p>
          <w:p w:rsidR="00F25EB5" w:rsidRDefault="00F25EB5" w:rsidP="00F25EB5">
            <w:pPr>
              <w:contextualSpacing/>
            </w:pPr>
            <w:r>
              <w:t>Korrekte Alternative für „Schleppseil“ gerade horizontale Linie und eine kurze vertikale Linie</w:t>
            </w:r>
          </w:p>
          <w:p w:rsidR="00ED06DB" w:rsidRDefault="00F25EB5" w:rsidP="00F25EB5">
            <w:pPr>
              <w:contextualSpacing/>
            </w:pPr>
            <w:r>
              <w:t>Falsche Beschreibung für „Schleppseil“ Florett</w:t>
            </w:r>
          </w:p>
        </w:tc>
      </w:tr>
    </w:tbl>
    <w:p w:rsidR="00F25EB5" w:rsidRDefault="00F25EB5" w:rsidP="00E05CFA">
      <w:pPr>
        <w:numPr>
          <w:ilvl w:val="0"/>
          <w:numId w:val="6"/>
        </w:numPr>
        <w:contextualSpacing/>
      </w:pPr>
      <w:r>
        <w:t>Den</w:t>
      </w:r>
      <w:r w:rsidR="00E05CFA" w:rsidRPr="00E05CFA">
        <w:t xml:space="preserve"> Befragten </w:t>
      </w:r>
      <w:r>
        <w:t>werden nacheinander die Testsymbole präsentiert.</w:t>
      </w:r>
    </w:p>
    <w:p w:rsidR="00E05CFA" w:rsidRDefault="00F25EB5" w:rsidP="00E05CFA">
      <w:pPr>
        <w:numPr>
          <w:ilvl w:val="0"/>
          <w:numId w:val="6"/>
        </w:numPr>
        <w:contextualSpacing/>
      </w:pPr>
      <w:r>
        <w:t>Die Befragten beschreiben die Testsymbole schriftlich auf Ihren Testseiten</w:t>
      </w:r>
      <w:r w:rsidR="00E05CFA" w:rsidRPr="00E05CFA">
        <w:t>.</w:t>
      </w:r>
    </w:p>
    <w:p w:rsidR="00F25EB5" w:rsidRPr="00E05CFA" w:rsidRDefault="00F25EB5" w:rsidP="00E05CFA">
      <w:pPr>
        <w:numPr>
          <w:ilvl w:val="0"/>
          <w:numId w:val="6"/>
        </w:numPr>
        <w:contextualSpacing/>
      </w:pPr>
      <w:r>
        <w:t>Die Befragten füllen die Selbstauskunft aus.</w:t>
      </w:r>
    </w:p>
    <w:p w:rsidR="00FF633D" w:rsidRPr="00986351" w:rsidRDefault="00686694" w:rsidP="007B451C">
      <w:pPr>
        <w:keepNext/>
        <w:spacing w:before="240" w:after="0"/>
        <w:rPr>
          <w:b/>
        </w:rPr>
      </w:pPr>
      <w:r w:rsidRPr="00986351">
        <w:rPr>
          <w:b/>
        </w:rPr>
        <w:t>Testa</w:t>
      </w:r>
      <w:r w:rsidR="00FF633D" w:rsidRPr="00986351">
        <w:rPr>
          <w:b/>
        </w:rPr>
        <w:t>uswertung</w:t>
      </w:r>
    </w:p>
    <w:p w:rsidR="005638FD" w:rsidRDefault="005638FD" w:rsidP="005638FD">
      <w:pPr>
        <w:pStyle w:val="Listenabsatz"/>
        <w:numPr>
          <w:ilvl w:val="0"/>
          <w:numId w:val="4"/>
        </w:numPr>
      </w:pPr>
      <w:r w:rsidRPr="00F368BA">
        <w:t>Für jedes S</w:t>
      </w:r>
      <w:r>
        <w:t>ymbol ist eine Liste mit möglichen Antworten zu</w:t>
      </w:r>
      <w:r w:rsidRPr="00F368BA">
        <w:t xml:space="preserve"> erstellen</w:t>
      </w:r>
      <w:r>
        <w:t xml:space="preserve">. </w:t>
      </w:r>
      <w:r>
        <w:br/>
        <w:t>Diese Liste dient als Entscheidungsgrundlage, ob die Beschreibung durch die Befragten korrekt ist.</w:t>
      </w:r>
    </w:p>
    <w:p w:rsidR="00CB1959" w:rsidRDefault="00CB1959" w:rsidP="00CB1959">
      <w:pPr>
        <w:pStyle w:val="Listenabsatz"/>
        <w:numPr>
          <w:ilvl w:val="0"/>
          <w:numId w:val="3"/>
        </w:numPr>
      </w:pPr>
      <w:r>
        <w:t>Zwei Prinzipien für korrekte Antworten:</w:t>
      </w:r>
    </w:p>
    <w:p w:rsidR="00CB1959" w:rsidRDefault="00CB1959" w:rsidP="00CB1959">
      <w:pPr>
        <w:pStyle w:val="Listenabsatz"/>
        <w:numPr>
          <w:ilvl w:val="1"/>
          <w:numId w:val="3"/>
        </w:numPr>
      </w:pPr>
      <w:r>
        <w:t>jede korrekte Beschreibung der Form ist korrekt</w:t>
      </w:r>
    </w:p>
    <w:p w:rsidR="00CB1959" w:rsidRDefault="00CB1959" w:rsidP="00CB1959">
      <w:pPr>
        <w:pStyle w:val="Listenabsatz"/>
        <w:numPr>
          <w:ilvl w:val="1"/>
          <w:numId w:val="3"/>
        </w:numPr>
      </w:pPr>
      <w:r>
        <w:t>jede Bezeichnung, die das Element korrekt bezeichnet ist korrekt</w:t>
      </w:r>
    </w:p>
    <w:p w:rsidR="00CB1959" w:rsidRDefault="00CB1959" w:rsidP="00CB1959">
      <w:pPr>
        <w:pStyle w:val="Listenabsatz"/>
        <w:numPr>
          <w:ilvl w:val="0"/>
          <w:numId w:val="3"/>
        </w:numPr>
      </w:pPr>
      <w:r>
        <w:t>Regel für die Entscheidung über korrekte Beschreibungen:</w:t>
      </w:r>
    </w:p>
    <w:p w:rsidR="00CB1959" w:rsidRPr="00CB1959" w:rsidRDefault="00CB1959" w:rsidP="00CB1959">
      <w:pPr>
        <w:pStyle w:val="Listenabsatz"/>
        <w:numPr>
          <w:ilvl w:val="1"/>
          <w:numId w:val="3"/>
        </w:numPr>
        <w:rPr>
          <w:i/>
        </w:rPr>
      </w:pPr>
      <w:r>
        <w:t xml:space="preserve">alle entsprechenden Beschreibungen eines Elements sind korrekt, </w:t>
      </w:r>
      <w:r>
        <w:br/>
      </w:r>
      <w:r w:rsidRPr="00CB1959">
        <w:rPr>
          <w:i/>
        </w:rPr>
        <w:t>„menschliche Person“, „Figur“, „Person“, „Mann“</w:t>
      </w:r>
    </w:p>
    <w:p w:rsidR="00CB1959" w:rsidRPr="00CB1959" w:rsidRDefault="00CB1959" w:rsidP="00CB1959">
      <w:pPr>
        <w:pStyle w:val="Listenabsatz"/>
        <w:numPr>
          <w:ilvl w:val="1"/>
          <w:numId w:val="3"/>
        </w:numPr>
        <w:rPr>
          <w:i/>
        </w:rPr>
      </w:pPr>
      <w:r>
        <w:t xml:space="preserve">eine Beschreibung, die das Element enthält ohne es direkt zu bezeichnen, ist korrekt, </w:t>
      </w:r>
      <w:r>
        <w:br/>
      </w:r>
      <w:r w:rsidRPr="00CB1959">
        <w:rPr>
          <w:i/>
        </w:rPr>
        <w:t>„platziert auf etwas“ statt „Tisch“</w:t>
      </w:r>
    </w:p>
    <w:p w:rsidR="00CB1959" w:rsidRPr="00CB1959" w:rsidRDefault="00CB1959" w:rsidP="00CB1959">
      <w:pPr>
        <w:pStyle w:val="Listenabsatz"/>
        <w:numPr>
          <w:ilvl w:val="1"/>
          <w:numId w:val="3"/>
        </w:numPr>
        <w:rPr>
          <w:i/>
        </w:rPr>
      </w:pPr>
      <w:r>
        <w:t xml:space="preserve">eine abstrakte Beschreibung, aber eindeutige Beschreibung der Objekte ist korrekt, </w:t>
      </w:r>
      <w:r>
        <w:br/>
      </w:r>
      <w:r w:rsidRPr="00CB1959">
        <w:rPr>
          <w:i/>
        </w:rPr>
        <w:t>„eine Reihe von Punkten“ statt „Förderband“ oder „eine Linie“ statt „Horizont“</w:t>
      </w:r>
    </w:p>
    <w:p w:rsidR="00CB1959" w:rsidRPr="00CB1959" w:rsidRDefault="00CB1959" w:rsidP="00CB1959">
      <w:pPr>
        <w:pStyle w:val="Listenabsatz"/>
        <w:numPr>
          <w:ilvl w:val="1"/>
          <w:numId w:val="3"/>
        </w:numPr>
        <w:rPr>
          <w:i/>
        </w:rPr>
      </w:pPr>
      <w:r>
        <w:t xml:space="preserve">eine implizite Beschreibung mit einem Wort, ist korrekt, </w:t>
      </w:r>
      <w:r>
        <w:br/>
      </w:r>
      <w:r w:rsidRPr="00CB1959">
        <w:rPr>
          <w:i/>
        </w:rPr>
        <w:t>„Portier“ statt „Mann mit Hut“</w:t>
      </w:r>
    </w:p>
    <w:p w:rsidR="00CB1959" w:rsidRPr="00CB1959" w:rsidRDefault="00CB1959" w:rsidP="00CB1959">
      <w:pPr>
        <w:pStyle w:val="Listenabsatz"/>
        <w:numPr>
          <w:ilvl w:val="1"/>
          <w:numId w:val="3"/>
        </w:numPr>
        <w:rPr>
          <w:i/>
        </w:rPr>
      </w:pPr>
      <w:r>
        <w:t xml:space="preserve">eine Beschreibung eines Objekts, nicht wie beabsichtigt, ist falsch, </w:t>
      </w:r>
      <w:r>
        <w:br/>
      </w:r>
      <w:r w:rsidRPr="00CB1959">
        <w:rPr>
          <w:i/>
        </w:rPr>
        <w:t>„Hand“ statt „Handschuh“</w:t>
      </w:r>
    </w:p>
    <w:p w:rsidR="00CB1959" w:rsidRDefault="00CB1959" w:rsidP="001E5C18">
      <w:pPr>
        <w:pStyle w:val="Listenabsatz"/>
        <w:numPr>
          <w:ilvl w:val="0"/>
          <w:numId w:val="3"/>
        </w:numPr>
      </w:pPr>
      <w:r>
        <w:t xml:space="preserve">Ein Symbol wurde korrekt beschrieben, wenn </w:t>
      </w:r>
      <w:r w:rsidRPr="001969DC">
        <w:rPr>
          <w:b/>
        </w:rPr>
        <w:t>alle</w:t>
      </w:r>
      <w:r>
        <w:t xml:space="preserve"> Elemente des Symbols korrekt beschrieben wurden.</w:t>
      </w:r>
    </w:p>
    <w:p w:rsidR="006035C9" w:rsidRDefault="00813AB1" w:rsidP="00813AB1">
      <w:pPr>
        <w:pStyle w:val="Listenabsatz"/>
        <w:numPr>
          <w:ilvl w:val="0"/>
          <w:numId w:val="3"/>
        </w:numPr>
      </w:pPr>
      <w:r>
        <w:t xml:space="preserve">Für jede getestete Symbolgröße </w:t>
      </w:r>
      <w:r w:rsidR="005638FD">
        <w:t>die</w:t>
      </w:r>
      <w:r>
        <w:t xml:space="preserve"> „</w:t>
      </w:r>
      <w:r w:rsidRPr="00813AB1">
        <w:t xml:space="preserve">Prozentzahl der korrekten </w:t>
      </w:r>
      <w:r>
        <w:t>Beschreibungen“ ermitteln.</w:t>
      </w:r>
    </w:p>
    <w:p w:rsidR="00172B47" w:rsidRPr="008B7ABB" w:rsidRDefault="00172B47" w:rsidP="00172B47">
      <w:pPr>
        <w:pStyle w:val="Listenabsatz"/>
        <w:numPr>
          <w:ilvl w:val="0"/>
          <w:numId w:val="3"/>
        </w:numPr>
      </w:pPr>
      <w:r w:rsidRPr="008B7ABB">
        <w:t>Testauswertung</w:t>
      </w:r>
      <w:r>
        <w:t>en</w:t>
      </w:r>
    </w:p>
    <w:p w:rsidR="00172B47" w:rsidRDefault="00172B47" w:rsidP="00172B47">
      <w:pPr>
        <w:pStyle w:val="Listenabsatz"/>
        <w:numPr>
          <w:ilvl w:val="1"/>
          <w:numId w:val="3"/>
        </w:numPr>
      </w:pPr>
      <w:r w:rsidRPr="008B7ABB">
        <w:t>Prozentzahl</w:t>
      </w:r>
      <w:r>
        <w:t xml:space="preserve"> der korrekten Identifikationen</w:t>
      </w:r>
    </w:p>
    <w:p w:rsidR="00172B47" w:rsidRDefault="00172B47" w:rsidP="00172B47">
      <w:pPr>
        <w:pStyle w:val="Listenabsatz"/>
        <w:numPr>
          <w:ilvl w:val="1"/>
          <w:numId w:val="3"/>
        </w:numPr>
      </w:pPr>
      <w:r>
        <w:t>Liste mit korrekten Beschreibungen und deren Alternativen</w:t>
      </w:r>
    </w:p>
    <w:p w:rsidR="00172B47" w:rsidRPr="008B7ABB" w:rsidRDefault="00172B47" w:rsidP="00172B47">
      <w:pPr>
        <w:pStyle w:val="Listenabsatz"/>
        <w:numPr>
          <w:ilvl w:val="1"/>
          <w:numId w:val="3"/>
        </w:numPr>
      </w:pPr>
      <w:r>
        <w:t>Liste mit falschen Beschreibungen und deren Häufigkeit</w:t>
      </w:r>
    </w:p>
    <w:p w:rsidR="00CB1959" w:rsidRDefault="008B7ABB" w:rsidP="00172B47">
      <w:pPr>
        <w:pStyle w:val="Listenabsatz"/>
        <w:numPr>
          <w:ilvl w:val="1"/>
          <w:numId w:val="3"/>
        </w:numPr>
      </w:pPr>
      <w:r>
        <w:t xml:space="preserve">… </w:t>
      </w:r>
      <w:r w:rsidR="005638FD">
        <w:t xml:space="preserve">wie </w:t>
      </w:r>
      <w:r w:rsidR="006035C9">
        <w:t>Excel-</w:t>
      </w:r>
      <w:r w:rsidR="005638FD">
        <w:t>Auswertung</w:t>
      </w:r>
      <w:r w:rsidR="00813AB1">
        <w:t xml:space="preserve"> </w:t>
      </w:r>
    </w:p>
    <w:p w:rsidR="007B451C" w:rsidRPr="00986351" w:rsidRDefault="007B451C" w:rsidP="007B451C">
      <w:pPr>
        <w:keepNext/>
        <w:spacing w:before="240" w:after="0"/>
        <w:rPr>
          <w:b/>
        </w:rPr>
      </w:pPr>
      <w:r w:rsidRPr="00986351">
        <w:rPr>
          <w:b/>
        </w:rPr>
        <w:t>Test</w:t>
      </w:r>
      <w:r>
        <w:rPr>
          <w:b/>
        </w:rPr>
        <w:t xml:space="preserve">ergebnisse </w:t>
      </w:r>
    </w:p>
    <w:p w:rsidR="00172B47" w:rsidRDefault="00172B47" w:rsidP="00172B47">
      <w:pPr>
        <w:pStyle w:val="Listenabsatz"/>
        <w:numPr>
          <w:ilvl w:val="0"/>
          <w:numId w:val="7"/>
        </w:numPr>
      </w:pPr>
      <w:r>
        <w:t>Ein Symbol hat den Test</w:t>
      </w:r>
      <w:r w:rsidR="006527EC">
        <w:t xml:space="preserve"> </w:t>
      </w:r>
      <w:r>
        <w:t>bestanden, wenn</w:t>
      </w:r>
    </w:p>
    <w:p w:rsidR="008B7ABB" w:rsidRDefault="00172B47" w:rsidP="00D50D21">
      <w:pPr>
        <w:pStyle w:val="Listenabsatz"/>
        <w:numPr>
          <w:ilvl w:val="1"/>
          <w:numId w:val="7"/>
        </w:numPr>
        <w:spacing w:after="0"/>
        <w:ind w:left="1434" w:hanging="357"/>
      </w:pPr>
      <w:r>
        <w:t>folgende Erkennungsraten (aus ISO 9186</w:t>
      </w:r>
      <w:r w:rsidR="00E002A5">
        <w:t>-2</w:t>
      </w:r>
      <w:r>
        <w:t>) erreicht wurden</w:t>
      </w:r>
    </w:p>
    <w:tbl>
      <w:tblPr>
        <w:tblStyle w:val="Tabellenraster1"/>
        <w:tblW w:w="0" w:type="auto"/>
        <w:tblInd w:w="1435" w:type="dxa"/>
        <w:tblLook w:val="04A0" w:firstRow="1" w:lastRow="0" w:firstColumn="1" w:lastColumn="0" w:noHBand="0" w:noVBand="1"/>
      </w:tblPr>
      <w:tblGrid>
        <w:gridCol w:w="1433"/>
        <w:gridCol w:w="4687"/>
      </w:tblGrid>
      <w:tr w:rsidR="00154391" w:rsidRPr="000A7907" w:rsidTr="00154391">
        <w:tc>
          <w:tcPr>
            <w:tcW w:w="1433" w:type="dxa"/>
          </w:tcPr>
          <w:p w:rsidR="00154391" w:rsidRPr="008F0D78" w:rsidRDefault="00154391" w:rsidP="004F0682">
            <w:pPr>
              <w:jc w:val="center"/>
              <w:rPr>
                <w:b/>
              </w:rPr>
            </w:pPr>
            <w:r w:rsidRPr="008F0D78">
              <w:rPr>
                <w:b/>
              </w:rPr>
              <w:t xml:space="preserve">Symbolgrößen </w:t>
            </w:r>
            <w:r w:rsidRPr="008F0D78">
              <w:rPr>
                <w:b/>
              </w:rPr>
              <w:br/>
              <w:t>h [mm]</w:t>
            </w:r>
          </w:p>
        </w:tc>
        <w:tc>
          <w:tcPr>
            <w:tcW w:w="4687" w:type="dxa"/>
          </w:tcPr>
          <w:p w:rsidR="00154391" w:rsidRPr="008F0D78" w:rsidRDefault="00154391" w:rsidP="004F0682">
            <w:pPr>
              <w:rPr>
                <w:b/>
              </w:rPr>
            </w:pPr>
            <w:r w:rsidRPr="006365D8">
              <w:rPr>
                <w:b/>
              </w:rPr>
              <w:t xml:space="preserve">Erkennungsrate </w:t>
            </w:r>
          </w:p>
        </w:tc>
      </w:tr>
      <w:tr w:rsidR="00154391" w:rsidRPr="000A7907" w:rsidTr="00154391">
        <w:tc>
          <w:tcPr>
            <w:tcW w:w="1433" w:type="dxa"/>
          </w:tcPr>
          <w:p w:rsidR="00154391" w:rsidRPr="000A7907" w:rsidRDefault="00154391" w:rsidP="004F0682">
            <w:pPr>
              <w:jc w:val="center"/>
            </w:pPr>
            <w:r w:rsidRPr="000A7907">
              <w:t>80 x 80</w:t>
            </w:r>
          </w:p>
        </w:tc>
        <w:tc>
          <w:tcPr>
            <w:tcW w:w="4687" w:type="dxa"/>
          </w:tcPr>
          <w:p w:rsidR="00154391" w:rsidRDefault="00154391" w:rsidP="004F0682">
            <w:r>
              <w:t>sollte ca. 90% sein</w:t>
            </w:r>
          </w:p>
        </w:tc>
      </w:tr>
      <w:tr w:rsidR="00154391" w:rsidRPr="000A7907" w:rsidTr="00154391">
        <w:tc>
          <w:tcPr>
            <w:tcW w:w="1433" w:type="dxa"/>
          </w:tcPr>
          <w:p w:rsidR="00154391" w:rsidRPr="000A7907" w:rsidRDefault="00154391" w:rsidP="004F0682">
            <w:pPr>
              <w:jc w:val="center"/>
            </w:pPr>
            <w:r w:rsidRPr="000A7907">
              <w:t>50 x 50</w:t>
            </w:r>
          </w:p>
        </w:tc>
        <w:tc>
          <w:tcPr>
            <w:tcW w:w="4687" w:type="dxa"/>
            <w:vAlign w:val="center"/>
          </w:tcPr>
          <w:p w:rsidR="00154391" w:rsidRDefault="00154391" w:rsidP="004F0682">
            <w:r>
              <w:t>sollte bei</w:t>
            </w:r>
            <w:r w:rsidRPr="000A7907">
              <w:t xml:space="preserve"> Sicherheitszeichen</w:t>
            </w:r>
            <w:r>
              <w:t xml:space="preserve"> ca. 90% sein</w:t>
            </w:r>
          </w:p>
        </w:tc>
      </w:tr>
      <w:tr w:rsidR="00154391" w:rsidRPr="000A7907" w:rsidTr="00154391">
        <w:tc>
          <w:tcPr>
            <w:tcW w:w="1433" w:type="dxa"/>
          </w:tcPr>
          <w:p w:rsidR="00154391" w:rsidRPr="000A7907" w:rsidRDefault="00154391" w:rsidP="004F0682">
            <w:pPr>
              <w:jc w:val="center"/>
            </w:pPr>
            <w:r w:rsidRPr="000A7907">
              <w:t>40 x 40</w:t>
            </w:r>
          </w:p>
        </w:tc>
        <w:tc>
          <w:tcPr>
            <w:tcW w:w="4687" w:type="dxa"/>
            <w:vMerge w:val="restart"/>
            <w:vAlign w:val="center"/>
          </w:tcPr>
          <w:p w:rsidR="00154391" w:rsidRDefault="00154391" w:rsidP="004F0682">
            <w:r>
              <w:t>kann kleiner als 90% sein</w:t>
            </w:r>
          </w:p>
        </w:tc>
      </w:tr>
      <w:tr w:rsidR="00154391" w:rsidRPr="000A7907" w:rsidTr="00154391">
        <w:tc>
          <w:tcPr>
            <w:tcW w:w="1433" w:type="dxa"/>
          </w:tcPr>
          <w:p w:rsidR="00154391" w:rsidRPr="000A7907" w:rsidRDefault="00154391" w:rsidP="004F0682">
            <w:pPr>
              <w:jc w:val="center"/>
            </w:pPr>
            <w:r w:rsidRPr="000A7907">
              <w:t>28 x 28</w:t>
            </w:r>
          </w:p>
        </w:tc>
        <w:tc>
          <w:tcPr>
            <w:tcW w:w="4687" w:type="dxa"/>
            <w:vMerge/>
          </w:tcPr>
          <w:p w:rsidR="00154391" w:rsidRPr="000A7907" w:rsidRDefault="00154391" w:rsidP="004F0682"/>
        </w:tc>
      </w:tr>
      <w:tr w:rsidR="00154391" w:rsidRPr="000A7907" w:rsidTr="00154391">
        <w:tc>
          <w:tcPr>
            <w:tcW w:w="1433" w:type="dxa"/>
          </w:tcPr>
          <w:p w:rsidR="00154391" w:rsidRPr="000A7907" w:rsidRDefault="00154391" w:rsidP="004F0682">
            <w:pPr>
              <w:jc w:val="center"/>
            </w:pPr>
            <w:r w:rsidRPr="000A7907">
              <w:t>20 x 20</w:t>
            </w:r>
          </w:p>
        </w:tc>
        <w:tc>
          <w:tcPr>
            <w:tcW w:w="4687" w:type="dxa"/>
            <w:vMerge/>
          </w:tcPr>
          <w:p w:rsidR="00154391" w:rsidRPr="000A7907" w:rsidRDefault="00154391" w:rsidP="004F0682"/>
        </w:tc>
      </w:tr>
      <w:tr w:rsidR="00154391" w:rsidRPr="000A7907" w:rsidTr="00154391">
        <w:tc>
          <w:tcPr>
            <w:tcW w:w="1433" w:type="dxa"/>
          </w:tcPr>
          <w:p w:rsidR="00154391" w:rsidRPr="000A7907" w:rsidRDefault="00154391" w:rsidP="004F0682">
            <w:pPr>
              <w:jc w:val="center"/>
            </w:pPr>
            <w:r w:rsidRPr="000A7907">
              <w:t>14 x 14</w:t>
            </w:r>
          </w:p>
        </w:tc>
        <w:tc>
          <w:tcPr>
            <w:tcW w:w="4687" w:type="dxa"/>
            <w:vMerge/>
          </w:tcPr>
          <w:p w:rsidR="00154391" w:rsidRPr="000A7907" w:rsidRDefault="00154391" w:rsidP="004F0682"/>
        </w:tc>
      </w:tr>
      <w:tr w:rsidR="00154391" w:rsidRPr="000A7907" w:rsidTr="00154391">
        <w:tc>
          <w:tcPr>
            <w:tcW w:w="1433" w:type="dxa"/>
          </w:tcPr>
          <w:p w:rsidR="00154391" w:rsidRPr="000A7907" w:rsidRDefault="00154391" w:rsidP="004F0682">
            <w:pPr>
              <w:jc w:val="center"/>
            </w:pPr>
            <w:r w:rsidRPr="000A7907">
              <w:t>10 x 10</w:t>
            </w:r>
          </w:p>
        </w:tc>
        <w:tc>
          <w:tcPr>
            <w:tcW w:w="4687" w:type="dxa"/>
            <w:vMerge/>
          </w:tcPr>
          <w:p w:rsidR="00154391" w:rsidRPr="000A7907" w:rsidRDefault="00154391" w:rsidP="004F0682"/>
        </w:tc>
      </w:tr>
    </w:tbl>
    <w:p w:rsidR="008B7ABB" w:rsidRDefault="00172B47" w:rsidP="00D50D21">
      <w:pPr>
        <w:pStyle w:val="Listenabsatz"/>
        <w:numPr>
          <w:ilvl w:val="1"/>
          <w:numId w:val="7"/>
        </w:numPr>
        <w:spacing w:before="120"/>
        <w:ind w:left="1434" w:hanging="357"/>
      </w:pPr>
      <w:r>
        <w:t>oder selbst festgelegt Erkennungsraten erreicht wurden</w:t>
      </w:r>
    </w:p>
    <w:p w:rsidR="00172B47" w:rsidRDefault="00D50D21" w:rsidP="00D50D21">
      <w:pPr>
        <w:pStyle w:val="Listenabsatz"/>
        <w:numPr>
          <w:ilvl w:val="0"/>
          <w:numId w:val="7"/>
        </w:numPr>
      </w:pPr>
      <w:r w:rsidRPr="00D50D21">
        <w:t xml:space="preserve">ISO/TC 145 </w:t>
      </w:r>
      <w:proofErr w:type="spellStart"/>
      <w:r w:rsidRPr="00D50D21">
        <w:t>Graphical</w:t>
      </w:r>
      <w:proofErr w:type="spellEnd"/>
      <w:r w:rsidRPr="00D50D21">
        <w:t xml:space="preserve"> </w:t>
      </w:r>
      <w:proofErr w:type="spellStart"/>
      <w:r w:rsidRPr="00D50D21">
        <w:t>symbols</w:t>
      </w:r>
      <w:proofErr w:type="spellEnd"/>
      <w:r>
        <w:t xml:space="preserve"> und deren SC macht keine Angaben zu erforderlichen Erkennungsraten.</w:t>
      </w:r>
    </w:p>
    <w:p w:rsidR="002E56D9" w:rsidRDefault="00D50D21" w:rsidP="00A81ECB">
      <w:pPr>
        <w:pStyle w:val="Listenabsatz"/>
        <w:numPr>
          <w:ilvl w:val="0"/>
          <w:numId w:val="7"/>
        </w:numPr>
      </w:pPr>
      <w:r>
        <w:t xml:space="preserve">Die </w:t>
      </w:r>
      <w:bookmarkStart w:id="0" w:name="_GoBack"/>
      <w:r>
        <w:t>Liste mit falschen Beschreibungen und deren Häufigkeit ist Ausgangspunkt zur Verbesserung des Symbols</w:t>
      </w:r>
      <w:bookmarkEnd w:id="0"/>
      <w:r>
        <w:t>.</w:t>
      </w:r>
    </w:p>
    <w:sectPr w:rsidR="002E56D9" w:rsidSect="007B451C">
      <w:headerReference w:type="default" r:id="rId15"/>
      <w:footerReference w:type="default" r:id="rId16"/>
      <w:pgSz w:w="11906" w:h="16838" w:code="9"/>
      <w:pgMar w:top="1985" w:right="567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351" w:rsidRDefault="00986351" w:rsidP="00986351">
      <w:pPr>
        <w:spacing w:after="0" w:line="240" w:lineRule="auto"/>
      </w:pPr>
      <w:r>
        <w:separator/>
      </w:r>
    </w:p>
  </w:endnote>
  <w:endnote w:type="continuationSeparator" w:id="0">
    <w:p w:rsidR="00986351" w:rsidRDefault="00986351" w:rsidP="00986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92"/>
      <w:gridCol w:w="3493"/>
      <w:gridCol w:w="3493"/>
    </w:tblGrid>
    <w:tr w:rsidR="00986351" w:rsidRPr="00933368" w:rsidTr="00587DB4">
      <w:tc>
        <w:tcPr>
          <w:tcW w:w="3492" w:type="dxa"/>
        </w:tcPr>
        <w:p w:rsidR="00986351" w:rsidRPr="00933368" w:rsidRDefault="00986351" w:rsidP="00986351">
          <w:pPr>
            <w:pStyle w:val="Fuzeile"/>
            <w:rPr>
              <w:sz w:val="16"/>
            </w:rPr>
          </w:pPr>
          <w:r w:rsidRPr="00933368">
            <w:rPr>
              <w:noProof/>
              <w:sz w:val="16"/>
              <w:lang w:eastAsia="de-DE"/>
            </w:rPr>
            <w:drawing>
              <wp:inline distT="0" distB="0" distL="0" distR="0" wp14:anchorId="33D37FBB" wp14:editId="53D7EF37">
                <wp:extent cx="1008000" cy="216000"/>
                <wp:effectExtent l="0" t="0" r="1905" b="0"/>
                <wp:docPr id="5" name="Grafi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usszeil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8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3" w:type="dxa"/>
        </w:tcPr>
        <w:p w:rsidR="00986351" w:rsidRPr="00933368" w:rsidRDefault="00986351" w:rsidP="00986351">
          <w:pPr>
            <w:pStyle w:val="Fuzeile"/>
            <w:jc w:val="center"/>
            <w:rPr>
              <w:sz w:val="16"/>
            </w:rPr>
          </w:pPr>
          <w:r>
            <w:rPr>
              <w:sz w:val="16"/>
            </w:rPr>
            <w:t>Ausgabe: A</w:t>
          </w:r>
          <w:r>
            <w:rPr>
              <w:sz w:val="16"/>
            </w:rPr>
            <w:br/>
          </w:r>
          <w:r w:rsidRPr="00933368">
            <w:rPr>
              <w:sz w:val="16"/>
            </w:rPr>
            <w:t>www.bravecroc.de</w:t>
          </w:r>
        </w:p>
      </w:tc>
      <w:tc>
        <w:tcPr>
          <w:tcW w:w="3493" w:type="dxa"/>
        </w:tcPr>
        <w:p w:rsidR="00986351" w:rsidRDefault="00986351" w:rsidP="00986351">
          <w:pPr>
            <w:pStyle w:val="Fuzeile"/>
            <w:jc w:val="right"/>
            <w:rPr>
              <w:sz w:val="16"/>
            </w:rPr>
          </w:pP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FILENAME   \* MERGEFORMAT </w:instrText>
          </w:r>
          <w:r>
            <w:rPr>
              <w:sz w:val="16"/>
            </w:rPr>
            <w:fldChar w:fldCharType="separate"/>
          </w:r>
          <w:r w:rsidR="006527EC">
            <w:rPr>
              <w:noProof/>
              <w:sz w:val="16"/>
            </w:rPr>
            <w:t>VQT Anleitung Testadministrator.docx</w:t>
          </w:r>
          <w:r>
            <w:rPr>
              <w:sz w:val="16"/>
            </w:rPr>
            <w:fldChar w:fldCharType="end"/>
          </w:r>
        </w:p>
        <w:p w:rsidR="00196F17" w:rsidRPr="00933368" w:rsidRDefault="00196F17" w:rsidP="00986351">
          <w:pPr>
            <w:pStyle w:val="Fuzeile"/>
            <w:jc w:val="right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 \* MERGEFORMAT </w:instrText>
          </w:r>
          <w:r>
            <w:rPr>
              <w:sz w:val="16"/>
            </w:rPr>
            <w:fldChar w:fldCharType="separate"/>
          </w:r>
          <w:r w:rsidR="00154391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  <w:r>
            <w:rPr>
              <w:sz w:val="16"/>
            </w:rPr>
            <w:t xml:space="preserve"> von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NUMPAGES   \* MERGEFORMAT </w:instrText>
          </w:r>
          <w:r>
            <w:rPr>
              <w:sz w:val="16"/>
            </w:rPr>
            <w:fldChar w:fldCharType="separate"/>
          </w:r>
          <w:r w:rsidR="00154391">
            <w:rPr>
              <w:noProof/>
              <w:sz w:val="16"/>
            </w:rPr>
            <w:t>3</w:t>
          </w:r>
          <w:r>
            <w:rPr>
              <w:sz w:val="16"/>
            </w:rPr>
            <w:fldChar w:fldCharType="end"/>
          </w:r>
          <w:r>
            <w:rPr>
              <w:sz w:val="16"/>
            </w:rPr>
            <w:t xml:space="preserve"> </w:t>
          </w:r>
        </w:p>
      </w:tc>
    </w:tr>
  </w:tbl>
  <w:p w:rsidR="00986351" w:rsidRPr="00986351" w:rsidRDefault="00986351">
    <w:pPr>
      <w:pStyle w:val="Fuzeile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351" w:rsidRDefault="00986351" w:rsidP="00986351">
      <w:pPr>
        <w:spacing w:after="0" w:line="240" w:lineRule="auto"/>
      </w:pPr>
      <w:r>
        <w:separator/>
      </w:r>
    </w:p>
  </w:footnote>
  <w:footnote w:type="continuationSeparator" w:id="0">
    <w:p w:rsidR="00986351" w:rsidRDefault="00986351" w:rsidP="00986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51C" w:rsidRDefault="007B451C" w:rsidP="007B451C">
    <w:r>
      <w:t>Anleitung für Testadministratoren</w:t>
    </w:r>
    <w:r>
      <w:br/>
    </w:r>
    <w:r w:rsidRPr="00522989">
      <w:rPr>
        <w:b/>
        <w:sz w:val="32"/>
      </w:rPr>
      <w:t xml:space="preserve">Graphische Symbole - </w:t>
    </w:r>
    <w:r w:rsidRPr="00986351">
      <w:rPr>
        <w:b/>
        <w:sz w:val="32"/>
      </w:rPr>
      <w:t xml:space="preserve">Test der visuellen Qualität </w:t>
    </w:r>
    <w:r w:rsidRPr="00522989">
      <w:rPr>
        <w:b/>
        <w:sz w:val="32"/>
      </w:rPr>
      <w:tab/>
    </w:r>
    <w:r w:rsidRPr="00522989">
      <w:rPr>
        <w:b/>
        <w:sz w:val="32"/>
      </w:rPr>
      <w:br/>
    </w:r>
    <w:r w:rsidRPr="00522989">
      <w:t>nach ISO 9186-</w:t>
    </w:r>
    <w:r>
      <w:t>2:2008-06</w:t>
    </w:r>
    <w:r w:rsidRPr="0052298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021F"/>
    <w:multiLevelType w:val="hybridMultilevel"/>
    <w:tmpl w:val="24B22F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D4F6B"/>
    <w:multiLevelType w:val="hybridMultilevel"/>
    <w:tmpl w:val="42F4DF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E0216"/>
    <w:multiLevelType w:val="hybridMultilevel"/>
    <w:tmpl w:val="63C271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D04F07"/>
    <w:multiLevelType w:val="hybridMultilevel"/>
    <w:tmpl w:val="04D845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516FBA"/>
    <w:multiLevelType w:val="hybridMultilevel"/>
    <w:tmpl w:val="02EEA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D08EE"/>
    <w:multiLevelType w:val="hybridMultilevel"/>
    <w:tmpl w:val="7506F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9606A"/>
    <w:multiLevelType w:val="hybridMultilevel"/>
    <w:tmpl w:val="9496A6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2F2054"/>
    <w:multiLevelType w:val="hybridMultilevel"/>
    <w:tmpl w:val="CFD8151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7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737"/>
    <w:rsid w:val="00014540"/>
    <w:rsid w:val="00037737"/>
    <w:rsid w:val="0009127C"/>
    <w:rsid w:val="000A7907"/>
    <w:rsid w:val="00154391"/>
    <w:rsid w:val="00172B47"/>
    <w:rsid w:val="001969DC"/>
    <w:rsid w:val="00196F17"/>
    <w:rsid w:val="001E5C18"/>
    <w:rsid w:val="00255382"/>
    <w:rsid w:val="002D5536"/>
    <w:rsid w:val="002E56D9"/>
    <w:rsid w:val="00300DB6"/>
    <w:rsid w:val="00413975"/>
    <w:rsid w:val="00526556"/>
    <w:rsid w:val="005638FD"/>
    <w:rsid w:val="006035C9"/>
    <w:rsid w:val="006365D8"/>
    <w:rsid w:val="006527EC"/>
    <w:rsid w:val="00686694"/>
    <w:rsid w:val="00697609"/>
    <w:rsid w:val="00710BA4"/>
    <w:rsid w:val="00791775"/>
    <w:rsid w:val="007B451C"/>
    <w:rsid w:val="00813AB1"/>
    <w:rsid w:val="00866859"/>
    <w:rsid w:val="008B7ABB"/>
    <w:rsid w:val="008F0D78"/>
    <w:rsid w:val="00986351"/>
    <w:rsid w:val="009D042C"/>
    <w:rsid w:val="00A81ECB"/>
    <w:rsid w:val="00AD11B7"/>
    <w:rsid w:val="00B667BA"/>
    <w:rsid w:val="00BE67BC"/>
    <w:rsid w:val="00BF6EAF"/>
    <w:rsid w:val="00C50849"/>
    <w:rsid w:val="00CB1959"/>
    <w:rsid w:val="00D50D21"/>
    <w:rsid w:val="00E002A5"/>
    <w:rsid w:val="00E05CFA"/>
    <w:rsid w:val="00E1388D"/>
    <w:rsid w:val="00E37AF3"/>
    <w:rsid w:val="00ED06DB"/>
    <w:rsid w:val="00F25EB5"/>
    <w:rsid w:val="00F2630D"/>
    <w:rsid w:val="00F368BA"/>
    <w:rsid w:val="00F66FFA"/>
    <w:rsid w:val="00FA14E8"/>
    <w:rsid w:val="00FA76A6"/>
    <w:rsid w:val="00FD047C"/>
    <w:rsid w:val="00FD56AA"/>
    <w:rsid w:val="00FF0761"/>
    <w:rsid w:val="00FF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71899F8"/>
  <w15:chartTrackingRefBased/>
  <w15:docId w15:val="{A361251C-1DC0-41D8-A754-55D3A2D02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E1388D"/>
    <w:rPr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81ECB"/>
    <w:pPr>
      <w:ind w:left="720"/>
      <w:contextualSpacing/>
    </w:pPr>
  </w:style>
  <w:style w:type="table" w:styleId="Tabellenraster">
    <w:name w:val="Table Grid"/>
    <w:basedOn w:val="NormaleTabelle"/>
    <w:uiPriority w:val="39"/>
    <w:rsid w:val="00F36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FF6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86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86351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986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86351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2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27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881</Words>
  <Characters>5147</Characters>
  <Application>Microsoft Office Word</Application>
  <DocSecurity>0</DocSecurity>
  <Lines>155</Lines>
  <Paragraphs>120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Jänicke</dc:creator>
  <cp:keywords/>
  <dc:description/>
  <cp:lastModifiedBy>Marco Jänicke</cp:lastModifiedBy>
  <cp:revision>23</cp:revision>
  <cp:lastPrinted>2016-11-03T17:34:00Z</cp:lastPrinted>
  <dcterms:created xsi:type="dcterms:W3CDTF">2016-09-26T13:46:00Z</dcterms:created>
  <dcterms:modified xsi:type="dcterms:W3CDTF">2016-11-04T13:26:00Z</dcterms:modified>
</cp:coreProperties>
</file>